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年全省技工院校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建筑与艺术应用类专业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教师实用微课制作竞赛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技术文件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一、比赛内容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（一）比赛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专业范围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7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《全国技工院校专业目录》中建筑类全部专业、轻工类与文化艺术类中与设计相关专业。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1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（二）比赛要求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以视频为主要载体，记录教师围绕某个知识点或技能点，或学生学习过程中的重点、难点或易错点进行设计，开展简短、完整的教学活动。重点以“微课”为平台，考察教师合理运用信息技术、数字资源和信息化教学环境，解决教学重难点的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教学设计要求。教学设计应基于现代教育思想和教学理念，科学、合理、巧妙地反映教师教学思想、“微课”设计思路和特色，教学设计应包括教材分析、知识点分析、教学目标、内容布局构思、实施效果、创新之处等。详见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微课要求。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视频时长5-10分钟，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视频有片头和片尾，主要教学内容和环节有字幕提示或说明，符合微课制作规范要求。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参赛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作品视频要求画面清晰、图像稳定、构图合理、声画同步，能全面真实反映教学情景。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视频有片头和片尾，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应显示微课（知识点、技能点）标题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主要教学内容和环节有字幕提示或说明，符合微课制作规范要求。提交单一视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不超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300MB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,视频格式为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MP4/720P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应是参赛教师原创，可用于课堂教学（含实训场所、网络环境等），教学应用效果突出，没有知识产权异议和纠纷。若发现作品侵犯他人著作权或有任何不良信息内容的，一律取消参赛资格，所造成一切不良后果均由参赛教师本人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参赛作品微课视频中一经出现作者和单位名称，一律取消参赛资格。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二、比赛方式及评分标准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本次比赛分为初赛和决赛，采取先专家初评再现场决赛的方式进行。赛前完成教学设计和微课制作，经专家初评入围决赛的参赛教师，决赛时按现场抽签顺序进行比赛。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outlineLvl w:val="1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（一）初赛——微课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1.根据自己选定的教学内容，结合现代化信息技术，编制教学设计，并根据教学设计开发微课视频，填写相应的材料证明完成初赛报名工作。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请参赛团队务必认真填写“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全省技工院校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建筑与艺术应用类专业教师实用微课制作竞赛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参赛封面、教学设计表、微课脚本设计表”（附件2、3、4），封面加盖公章。其中附件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中的参赛编号不需要填写。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提交作品内容包括：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～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4（PDF文件）、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微课作品（视频文件）、教材内容（教材封面、目录及教学内容以扫描件的方式制成PDF文件），一共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个文件。以上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个文件打包为一个压缩包，文件名为“学校+姓名”。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经初赛选拔后，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排名前30%的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选手进入决赛。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微课评分表，满分100分。</w:t>
      </w:r>
    </w:p>
    <w:p>
      <w:pPr>
        <w:spacing w:line="540" w:lineRule="exac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page" w:horzAnchor="page" w:tblpX="1837" w:tblpY="1518"/>
        <w:tblOverlap w:val="never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94"/>
        <w:gridCol w:w="5553"/>
        <w:gridCol w:w="721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29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内 容</w:t>
            </w:r>
          </w:p>
        </w:tc>
        <w:tc>
          <w:tcPr>
            <w:tcW w:w="555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评价标准和主要观察点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1" w:hRule="exac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555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ind w:left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配分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djustRightInd w:val="0"/>
              <w:snapToGrid w:val="0"/>
              <w:ind w:left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2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主题与内容</w:t>
            </w:r>
          </w:p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选题简明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选取教学环节中某一知识点、技能点、专题、实训活动作为选题，针对教学中的常见、典型、有代表性的问题或内容进行设计，类型包括但不限于：教授类、解题类、答疑类、实训实验类、活动类。选题尽量“小而精”，具备独立性、完整性、示范性、代表性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58" w:hRule="exac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重点突出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能突出教学和实训中常见、典型、有代表性的问题或内容，能有效解决教学和实训过程中的重点和难点。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exact"/>
        </w:trPr>
        <w:tc>
          <w:tcPr>
            <w:tcW w:w="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内容科学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学习内容呈现科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学、严谨，充分体现社会主义核心价值观，匹配具体学情，凸显技工教育特征，无科学性、常识性错误；注重落实课程思政要求，结合课程特点挖掘思政元素，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val="en-US" w:eastAsia="zh-CN"/>
              </w:rPr>
              <w:t>并能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与人文素质养成或企业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  <w:lang w:eastAsia="zh-CN"/>
              </w:rPr>
              <w:t>工作</w:t>
            </w: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过程紧密相关，结合学生实际在现实问题的情境中加以呈现。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 w:eastAsiaTheme="minorEastAsia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05" w:hRule="exact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  <w:t>设计与安排（25）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设计合理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教学目标明确，思路清晰；组织与编排符合学生认知规律；能突出学生的主体性以及教与学活动有机结合，注重学生全面发展。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exact"/>
        </w:trPr>
        <w:tc>
          <w:tcPr>
            <w:tcW w:w="8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方法适当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hint="default"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能根据教学需求，选用灵活、适当的教学方法和策略，注重调动学生的学习积极性和创造性思维能力；信息技术手段运用合理，教学媒体选择恰当，教学辅助效果好。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1590" w:hRule="exact"/>
        </w:trPr>
        <w:tc>
          <w:tcPr>
            <w:tcW w:w="8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形式新颖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构思新颖，富有创意，鼓励参赛教师采用多元设计理念、方法、手段设计微课，教师在授课过程中，可使用但不限于：把图片、动画、视频、HTML网页等多种媒体技术，恰到好处地运用在教学过程中，以实现较好的教学效果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</w:trPr>
        <w:tc>
          <w:tcPr>
            <w:tcW w:w="8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  <w:t>表达与讲解（20）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语言清晰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教学语言规范清晰，声音洪亮，有节奏感，富有感染力。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724" w:hRule="exact"/>
        </w:trPr>
        <w:tc>
          <w:tcPr>
            <w:tcW w:w="8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楷体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表达形象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教学过程主线清晰，深入浅出，形象生动，逻辑性和启发引导性强。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</w:trPr>
        <w:tc>
          <w:tcPr>
            <w:tcW w:w="8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  <w:t>技术与规范（20）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技术规范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微课视频不超过规定时长，视频图像清晰稳定，构图合理，声音清楚，符合微课视频录制规范要求；视频中不得出现任何参赛者姓名、单位等其他特征信息。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94" w:hRule="exact"/>
        </w:trPr>
        <w:tc>
          <w:tcPr>
            <w:tcW w:w="8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结构完整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0"/>
              </w:rPr>
              <w:t>视频有片头和片尾，主要教学内容和环节有字幕提示或说明，结构完整充实，符合微课制作规范要求；其他需提交的文本资料提交齐全。</w:t>
            </w:r>
          </w:p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835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  <w:t>效果与评价（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</w:rPr>
              <w:t>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教师仪表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教师仪表得当，教态自然，严守职业规范，能展现良好的教学风貌和个人魅力。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5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41" w:hRule="exact"/>
        </w:trPr>
        <w:tc>
          <w:tcPr>
            <w:tcW w:w="835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center"/>
              <w:rPr>
                <w:rFonts w:ascii="Times New Roman" w:hAnsi="Times New Roman" w:eastAsia="楷体" w:cs="Times New Roman"/>
                <w:b/>
                <w:bCs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</w:rPr>
              <w:t>目标达成</w:t>
            </w:r>
          </w:p>
        </w:tc>
        <w:tc>
          <w:tcPr>
            <w:tcW w:w="5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Autospacing="0" w:afterAutospacing="0"/>
              <w:jc w:val="both"/>
              <w:rPr>
                <w:rFonts w:ascii="Times New Roman" w:hAnsi="Times New Roman" w:eastAsia="宋体" w:cs="Times New Roman"/>
                <w:sz w:val="21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0"/>
              </w:rPr>
              <w:t>能完成设定的教学目标，有效解决实际教学问题，能促进学生知识运用及专业能力提高。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hint="default" w:ascii="Times New Roman" w:hAnsi="Times New Roman" w:cs="Times New Roman" w:eastAsiaTheme="minorEastAsia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</w:t>
            </w:r>
            <w:r>
              <w:rPr>
                <w:rFonts w:hint="default" w:ascii="Times New Roman" w:hAnsi="Times New Roman" w:cs="Times New Roman"/>
                <w:sz w:val="21"/>
                <w:lang w:val="en-US" w:eastAsia="zh-CN"/>
              </w:rPr>
              <w:t>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ind w:left="0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</w:tr>
    </w:tbl>
    <w:p>
      <w:pPr>
        <w:spacing w:line="540" w:lineRule="exact"/>
        <w:ind w:firstLine="570"/>
        <w:outlineLvl w:val="1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（二）决赛——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说课展示与答辩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10月30日前，在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浙江省职业能力建设网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”上公布入围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决赛作品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名单。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赛入围作品教师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围绕微课教学设计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进行现场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说课展示与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答辩，评委进行现场打分（评审标准另行通知）。</w:t>
      </w: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7"/>
        <w:spacing w:line="560" w:lineRule="exact"/>
        <w:jc w:val="both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楷体_GB2312" w:cs="Times New Roman"/>
          <w:sz w:val="24"/>
        </w:rPr>
      </w:pPr>
    </w:p>
    <w:p>
      <w:pPr>
        <w:jc w:val="center"/>
        <w:rPr>
          <w:rFonts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 xml:space="preserve">                                             参赛编号：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楷体" w:cs="Times New Roman"/>
          <w:b/>
          <w:color w:val="000000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  <w:t>年全省技工院校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建筑与</w:t>
      </w: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  <w:t>艺术应用类专业教师实用微课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/>
          <w:sz w:val="48"/>
          <w:szCs w:val="48"/>
        </w:rPr>
        <w:t>制作竞赛参赛封面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ascii="Times New Roman" w:hAnsi="Times New Roman" w:eastAsia="仿宋_GB2312" w:cs="Times New Roman"/>
          <w:color w:val="000000"/>
          <w:sz w:val="30"/>
        </w:rPr>
      </w:pP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lang w:val="en-US" w:eastAsia="zh-CN"/>
        </w:rPr>
        <w:t>专  业  名  称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  <w:u w:val="single"/>
          <w:bdr w:val="single" w:color="auto" w:sz="4" w:space="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课  程  名  称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lang w:val="en-US" w:eastAsia="zh-CN"/>
        </w:rPr>
        <w:t xml:space="preserve">微  课  </w:t>
      </w:r>
      <w:r>
        <w:rPr>
          <w:rFonts w:hint="default" w:ascii="Times New Roman" w:hAnsi="Times New Roman" w:eastAsia="仿宋_GB2312" w:cs="Times New Roman"/>
          <w:color w:val="000000"/>
          <w:sz w:val="30"/>
        </w:rPr>
        <w:t>名</w:t>
      </w:r>
      <w:r>
        <w:rPr>
          <w:rFonts w:hint="default" w:ascii="Times New Roman" w:hAnsi="Times New Roman" w:eastAsia="仿宋_GB2312" w:cs="Times New Roman"/>
          <w:color w:val="000000"/>
          <w:sz w:val="3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0"/>
        </w:rPr>
        <w:t>称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参赛团队负责人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参  赛  队  员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联系人及联系电话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  <w:u w:val="single"/>
          <w:bdr w:val="single" w:color="auto" w:sz="4" w:space="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工作单位（盖公章）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620" w:lineRule="exact"/>
        <w:ind w:firstLine="720" w:firstLineChars="240"/>
        <w:textAlignment w:val="auto"/>
        <w:outlineLvl w:val="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仿宋_GB2312" w:cs="Times New Roman"/>
          <w:color w:val="000000"/>
          <w:sz w:val="30"/>
        </w:rPr>
        <w:t>填   表  时  间</w:t>
      </w:r>
      <w:r>
        <w:rPr>
          <w:rFonts w:hint="default" w:ascii="Times New Roman" w:hAnsi="Times New Roman" w:eastAsia="仿宋_GB2312" w:cs="Times New Roman"/>
          <w:color w:val="000000"/>
          <w:sz w:val="30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outlineLvl w:val="0"/>
        <w:rPr>
          <w:rFonts w:hint="default" w:ascii="Times New Roman" w:hAnsi="Times New Roman" w:eastAsia="楷体_GB2312" w:cs="Times New Roman"/>
          <w:color w:val="000000"/>
          <w:sz w:val="32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color w:val="000000"/>
          <w:sz w:val="32"/>
          <w:lang w:val="en-US" w:eastAsia="zh-CN"/>
        </w:rPr>
        <w:t xml:space="preserve">浙江省职业技能教学研究所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24"/>
          <w:lang w:eastAsia="zh-CN"/>
        </w:rPr>
        <w:t>制</w:t>
      </w:r>
    </w:p>
    <w:p>
      <w:pPr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-SA"/>
        </w:rPr>
        <w:t>附件3</w:t>
      </w:r>
    </w:p>
    <w:p>
      <w:pPr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  <w:t>202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  <w:t>年全省技工院校</w:t>
      </w:r>
      <w:r>
        <w:rPr>
          <w:rFonts w:hint="default" w:ascii="Times New Roman" w:hAnsi="Times New Roman" w:eastAsia="方正小标宋简体" w:cs="Times New Roman"/>
          <w:w w:val="90"/>
          <w:sz w:val="44"/>
          <w:szCs w:val="44"/>
          <w:lang w:val="en-US" w:eastAsia="zh-CN"/>
        </w:rPr>
        <w:t>建筑与</w:t>
      </w:r>
      <w:r>
        <w:rPr>
          <w:rFonts w:hint="default" w:ascii="Times New Roman" w:hAnsi="Times New Roman" w:eastAsia="方正小标宋简体" w:cs="Times New Roman"/>
          <w:b w:val="0"/>
          <w:bCs w:val="0"/>
          <w:w w:val="90"/>
          <w:sz w:val="44"/>
          <w:szCs w:val="44"/>
        </w:rPr>
        <w:t>艺术应用类专业教师实用微课制作竞赛教学设计表</w:t>
      </w:r>
    </w:p>
    <w:p>
      <w:pPr>
        <w:spacing w:line="560" w:lineRule="exact"/>
        <w:ind w:firstLine="480" w:firstLineChars="200"/>
        <w:jc w:val="center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24"/>
          <w:szCs w:val="24"/>
          <w:lang w:val="en-US" w:eastAsia="zh-CN"/>
        </w:rPr>
        <w:t xml:space="preserve">                                                                                </w:t>
      </w:r>
      <w:r>
        <w:rPr>
          <w:rFonts w:hint="default" w:ascii="Times New Roman" w:hAnsi="Times New Roman" w:eastAsia="楷体_GB2312" w:cs="Times New Roman"/>
          <w:color w:val="000000"/>
          <w:sz w:val="24"/>
          <w:szCs w:val="24"/>
        </w:rPr>
        <w:t>参赛编号：</w:t>
      </w:r>
      <w:r>
        <w:rPr>
          <w:rFonts w:hint="default" w:ascii="Times New Roman" w:hAnsi="Times New Roman" w:eastAsia="楷体_GB2312" w:cs="Times New Roman"/>
          <w:b/>
          <w:color w:val="000000"/>
          <w:sz w:val="24"/>
          <w:szCs w:val="24"/>
        </w:rPr>
        <w:t xml:space="preserve">       </w:t>
      </w:r>
    </w:p>
    <w:tbl>
      <w:tblPr>
        <w:tblStyle w:val="8"/>
        <w:tblW w:w="140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531"/>
        <w:gridCol w:w="1843"/>
        <w:gridCol w:w="2149"/>
        <w:gridCol w:w="1012"/>
        <w:gridCol w:w="44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微课名称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6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</w:rPr>
              <w:t>片长（秒）</w:t>
            </w:r>
          </w:p>
        </w:tc>
        <w:tc>
          <w:tcPr>
            <w:tcW w:w="253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文件大小（M）</w:t>
            </w:r>
          </w:p>
        </w:tc>
        <w:tc>
          <w:tcPr>
            <w:tcW w:w="21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</w:rPr>
              <w:t>课程</w:t>
            </w:r>
          </w:p>
        </w:tc>
        <w:tc>
          <w:tcPr>
            <w:tcW w:w="4412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06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  <w:t>教材内容分析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（知识点或技能点、课题在教材知识系统中的地位和作用，教学内容与前后内容之间的关系，在整体或单元教学中的作用）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61" w:type="dxa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  <w:t>教学目标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（学生通过学习后在指定条件下的表现水准）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61" w:type="dxa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  <w:t>教学策略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（依据教学内容所采用的教学组织形式、教学方法、技术和材料）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61" w:type="dxa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  <w:t>教学过程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（依次对微课各教学环节进行说明，包括时间分配等。字数在1000字左右，字体为仿宋，字号为小四号，单倍行距）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2061" w:type="dxa"/>
            <w:vAlign w:val="center"/>
          </w:tcPr>
          <w:p>
            <w:pPr>
              <w:spacing w:line="32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  <w:lang w:val="en-US" w:eastAsia="zh-CN"/>
              </w:rPr>
              <w:t>实施效果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（微课在教学中的实际应用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成效分析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061" w:type="dxa"/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eastAsia="仿宋_GB2312" w:cs="Times New Roman"/>
                <w:b/>
                <w:bCs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pacing w:val="7"/>
                <w:sz w:val="24"/>
              </w:rPr>
              <w:t>创新特色</w:t>
            </w:r>
          </w:p>
        </w:tc>
        <w:tc>
          <w:tcPr>
            <w:tcW w:w="11947" w:type="dxa"/>
            <w:gridSpan w:val="5"/>
            <w:vAlign w:val="center"/>
          </w:tcPr>
          <w:p>
            <w:pPr>
              <w:rPr>
                <w:rFonts w:ascii="Times New Roman" w:hAnsi="Times New Roman" w:eastAsia="仿宋_GB2312" w:cs="Times New Roman"/>
                <w:spacing w:val="7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在教学设计、微课制作中的创新举措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）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（表格可顺延）</w:t>
      </w:r>
    </w:p>
    <w:p>
      <w:pPr>
        <w:spacing w:line="560" w:lineRule="exact"/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kern w:val="0"/>
          <w:sz w:val="32"/>
          <w:szCs w:val="32"/>
          <w:lang w:val="en-US" w:eastAsia="zh-CN" w:bidi="ar-SA"/>
        </w:rPr>
        <w:t xml:space="preserve"> 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default" w:ascii="Times New Roman" w:hAnsi="Times New Roman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微课脚本设计表</w:t>
      </w:r>
      <w:r>
        <w:rPr>
          <w:rFonts w:hint="default" w:ascii="Times New Roman" w:hAnsi="Times New Roman" w:cs="Times New Roman"/>
          <w:color w:val="auto"/>
          <w:sz w:val="24"/>
          <w:highlight w:val="none"/>
        </w:rPr>
        <w:t xml:space="preserve">         </w:t>
      </w:r>
    </w:p>
    <w:tbl>
      <w:tblPr>
        <w:tblStyle w:val="8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418"/>
        <w:gridCol w:w="2552"/>
        <w:gridCol w:w="625"/>
        <w:gridCol w:w="934"/>
        <w:gridCol w:w="1874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微课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所属专业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课程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）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8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知识点（技能点）名称</w:t>
            </w:r>
          </w:p>
        </w:tc>
        <w:tc>
          <w:tcPr>
            <w:tcW w:w="2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视频长度</w:t>
            </w:r>
          </w:p>
        </w:tc>
        <w:tc>
          <w:tcPr>
            <w:tcW w:w="3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知识点（技能点）描述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8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教学类型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□讲授型  □问答型  □启发型  □讨论型  □演示型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  <w:t xml:space="preserve">□实验型   □练习型  □表演型   □自主学习型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  <w:t>□合作学习型   □探究学习型   □其他类型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适用对象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88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设计思路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0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4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主要内容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呈现方式</w:t>
            </w: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4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教学过程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导入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2" w:hRule="atLeast"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知识讲解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技能示范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结尾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2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6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6" w:hRule="atLeast"/>
          <w:jc w:val="center"/>
        </w:trPr>
        <w:tc>
          <w:tcPr>
            <w:tcW w:w="18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8"/>
                <w:szCs w:val="28"/>
                <w:highlight w:val="none"/>
              </w:rPr>
              <w:t>教学评价（微课在实际教学中的作用）</w:t>
            </w:r>
          </w:p>
        </w:tc>
        <w:tc>
          <w:tcPr>
            <w:tcW w:w="76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sz w:val="28"/>
          <w:szCs w:val="28"/>
          <w:highlight w:val="none"/>
        </w:rPr>
        <w:t>备注：每个微课视频须提供1份对应的脚本设计表。</w:t>
      </w:r>
      <w:r>
        <w:rPr>
          <w:rFonts w:hint="default" w:ascii="Times New Roman" w:hAnsi="Times New Roman" w:eastAsia="仿宋" w:cs="Times New Roman"/>
          <w:bCs/>
          <w:sz w:val="32"/>
          <w:szCs w:val="32"/>
        </w:rPr>
        <w:t xml:space="preserve"> </w:t>
      </w:r>
    </w:p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OTViOTg3YmVhZmY0ZGM0NDEwMzEyMzA5NDA5MDEifQ=="/>
  </w:docVars>
  <w:rsids>
    <w:rsidRoot w:val="77CE2997"/>
    <w:rsid w:val="05E59D49"/>
    <w:rsid w:val="0A2B7DE2"/>
    <w:rsid w:val="0BC26A85"/>
    <w:rsid w:val="19BB110E"/>
    <w:rsid w:val="263F63E8"/>
    <w:rsid w:val="32D30E25"/>
    <w:rsid w:val="330D3A82"/>
    <w:rsid w:val="36FF3E42"/>
    <w:rsid w:val="3FEB4594"/>
    <w:rsid w:val="40356427"/>
    <w:rsid w:val="442932F3"/>
    <w:rsid w:val="585767FF"/>
    <w:rsid w:val="5FDF070A"/>
    <w:rsid w:val="67E31201"/>
    <w:rsid w:val="6EE106A6"/>
    <w:rsid w:val="6FBF54AC"/>
    <w:rsid w:val="75BF97F1"/>
    <w:rsid w:val="773F1216"/>
    <w:rsid w:val="77CE2997"/>
    <w:rsid w:val="79B30669"/>
    <w:rsid w:val="7D7F3D61"/>
    <w:rsid w:val="7FDF6403"/>
    <w:rsid w:val="B3DBBA83"/>
    <w:rsid w:val="B9F9C38A"/>
    <w:rsid w:val="BBAF117A"/>
    <w:rsid w:val="BDEF157C"/>
    <w:rsid w:val="BFBEA9A0"/>
    <w:rsid w:val="CBE87A33"/>
    <w:rsid w:val="DBEF1C88"/>
    <w:rsid w:val="DFDF685B"/>
    <w:rsid w:val="DFED5237"/>
    <w:rsid w:val="E6FB2A89"/>
    <w:rsid w:val="FD578890"/>
    <w:rsid w:val="FD61460F"/>
    <w:rsid w:val="FF5FDA94"/>
    <w:rsid w:val="FF7A9840"/>
    <w:rsid w:val="FF91A47B"/>
    <w:rsid w:val="FFAFE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ind w:left="420"/>
      <w:jc w:val="left"/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2023-09-06T14:52:00Z</dcterms:created>
  <dc:creator>张国华</dc:creator>
  <cp:lastModifiedBy>admin</cp:lastModifiedBy>
  <dcterms:modified xsi:type="dcterms:W3CDTF">2023-09-15T08:48:27Z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1033487325234BB7B9CC8F046DE55333_11</vt:lpwstr>
  </property>
</Properties>
</file>