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right="640"/>
        <w:rPr>
          <w:rFonts w:ascii="黑体" w:hAnsi="仿宋" w:eastAsia="黑体" w:cs="黑体"/>
          <w:kern w:val="0"/>
          <w:sz w:val="32"/>
          <w:szCs w:val="32"/>
        </w:rPr>
      </w:pPr>
      <w:bookmarkStart w:id="2" w:name="_GoBack"/>
      <w:bookmarkEnd w:id="2"/>
      <w:r>
        <w:rPr>
          <w:rFonts w:hint="eastAsia" w:ascii="黑体" w:hAnsi="仿宋" w:eastAsia="黑体" w:cs="黑体"/>
          <w:kern w:val="0"/>
          <w:sz w:val="32"/>
          <w:szCs w:val="32"/>
        </w:rPr>
        <w:t>附件</w:t>
      </w:r>
      <w:r>
        <w:rPr>
          <w:rFonts w:ascii="黑体" w:hAnsi="仿宋" w:eastAsia="黑体" w:cs="黑体"/>
          <w:kern w:val="0"/>
          <w:sz w:val="32"/>
          <w:szCs w:val="32"/>
        </w:rPr>
        <w:t>1</w:t>
      </w:r>
    </w:p>
    <w:p>
      <w:pPr>
        <w:rPr>
          <w:rFonts w:ascii="黑体" w:hAnsi="仿宋" w:eastAsia="黑体" w:cs="黑体"/>
          <w:kern w:val="0"/>
          <w:sz w:val="16"/>
          <w:szCs w:val="16"/>
        </w:rPr>
      </w:pPr>
    </w:p>
    <w:p>
      <w:pPr>
        <w:tabs>
          <w:tab w:val="left" w:pos="3544"/>
        </w:tabs>
        <w:adjustRightInd w:val="0"/>
        <w:snapToGrid w:val="0"/>
        <w:jc w:val="center"/>
        <w:rPr>
          <w:rFonts w:ascii="方正小标宋简体" w:hAnsi="黑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  <w:lang w:val="zh-CN"/>
        </w:rPr>
        <w:t>高级研修班</w:t>
      </w:r>
      <w:r>
        <w:rPr>
          <w:rFonts w:hint="eastAsia" w:ascii="方正小标宋简体" w:hAnsi="Calibri" w:eastAsia="方正小标宋简体" w:cs="Calibri"/>
          <w:sz w:val="44"/>
          <w:szCs w:val="44"/>
        </w:rPr>
        <w:t>课程安排</w:t>
      </w:r>
    </w:p>
    <w:p>
      <w:pPr>
        <w:autoSpaceDE w:val="0"/>
        <w:autoSpaceDN w:val="0"/>
        <w:jc w:val="left"/>
        <w:rPr>
          <w:rFonts w:ascii="黑体" w:hAnsi="仿宋" w:eastAsia="黑体" w:cs="黑体"/>
          <w:kern w:val="0"/>
          <w:sz w:val="32"/>
          <w:szCs w:val="32"/>
        </w:rPr>
      </w:pPr>
    </w:p>
    <w:tbl>
      <w:tblPr>
        <w:tblStyle w:val="8"/>
        <w:tblpPr w:leftFromText="181" w:rightFromText="181" w:vertAnchor="text" w:horzAnchor="margin" w:tblpXSpec="center" w:tblpY="1"/>
        <w:tblW w:w="493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413"/>
        <w:gridCol w:w="903"/>
        <w:gridCol w:w="1809"/>
        <w:gridCol w:w="3339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37" w:hRule="atLeast"/>
        </w:trPr>
        <w:tc>
          <w:tcPr>
            <w:tcW w:w="800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kern w:val="0"/>
                <w:sz w:val="28"/>
                <w:szCs w:val="28"/>
              </w:rPr>
              <w:t>日期</w:t>
            </w:r>
          </w:p>
        </w:tc>
        <w:tc>
          <w:tcPr>
            <w:tcW w:w="3429" w:type="pct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课程内容</w:t>
            </w:r>
          </w:p>
        </w:tc>
        <w:tc>
          <w:tcPr>
            <w:tcW w:w="770" w:type="pct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授课专家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32" w:hRule="atLeast"/>
        </w:trPr>
        <w:tc>
          <w:tcPr>
            <w:tcW w:w="800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  <w:t>月</w:t>
            </w:r>
            <w:r>
              <w:rPr>
                <w:rFonts w:hint="eastAsia"/>
                <w:sz w:val="28"/>
                <w:szCs w:val="28"/>
              </w:rPr>
              <w:t>21</w:t>
            </w:r>
            <w:r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  <w:t>周一</w:t>
            </w:r>
          </w:p>
        </w:tc>
        <w:tc>
          <w:tcPr>
            <w:tcW w:w="511" w:type="pct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  <w:t>上午</w:t>
            </w:r>
          </w:p>
        </w:tc>
        <w:tc>
          <w:tcPr>
            <w:tcW w:w="1025" w:type="pct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10:00-1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892" w:type="pct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  <w:t>学员报到</w:t>
            </w:r>
          </w:p>
        </w:tc>
        <w:tc>
          <w:tcPr>
            <w:tcW w:w="770" w:type="pct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  <w:t>会务组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48" w:hRule="atLeast"/>
        </w:trPr>
        <w:tc>
          <w:tcPr>
            <w:tcW w:w="800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11" w:type="pct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  <w:t>下午</w:t>
            </w:r>
          </w:p>
        </w:tc>
        <w:tc>
          <w:tcPr>
            <w:tcW w:w="1025" w:type="pct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92" w:type="pct"/>
            <w:vAlign w:val="center"/>
          </w:tcPr>
          <w:p>
            <w:pPr>
              <w:spacing w:line="460" w:lineRule="exact"/>
              <w:jc w:val="left"/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  <w:t>开班仪式</w:t>
            </w: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int="eastAsia"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  <w:t>相关领导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800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11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1025" w:type="pct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0-17:00</w:t>
            </w:r>
          </w:p>
        </w:tc>
        <w:tc>
          <w:tcPr>
            <w:tcW w:w="1892" w:type="pct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长三角一体化战略与新生产力布局</w:t>
            </w: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包海波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8" w:hRule="atLeast"/>
        </w:trPr>
        <w:tc>
          <w:tcPr>
            <w:tcW w:w="800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  <w:t>月</w:t>
            </w:r>
            <w:r>
              <w:rPr>
                <w:rFonts w:hint="eastAsia"/>
                <w:sz w:val="28"/>
                <w:szCs w:val="28"/>
              </w:rPr>
              <w:t>22</w:t>
            </w:r>
            <w:r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  <w:t>周</w:t>
            </w:r>
            <w:r>
              <w:rPr>
                <w:rFonts w:hint="eastAsia"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  <w:t>二</w:t>
            </w:r>
          </w:p>
        </w:tc>
        <w:tc>
          <w:tcPr>
            <w:tcW w:w="511" w:type="pct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  <w:t>上午</w:t>
            </w:r>
          </w:p>
        </w:tc>
        <w:tc>
          <w:tcPr>
            <w:tcW w:w="1025" w:type="pct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9:00-12:00</w:t>
            </w:r>
          </w:p>
        </w:tc>
        <w:tc>
          <w:tcPr>
            <w:tcW w:w="1892" w:type="pct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企业家文化素养和艺术品鉴赏</w:t>
            </w: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童四鹤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57" w:hRule="atLeast"/>
        </w:trPr>
        <w:tc>
          <w:tcPr>
            <w:tcW w:w="800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11" w:type="pct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  <w:t>下午</w:t>
            </w:r>
          </w:p>
        </w:tc>
        <w:tc>
          <w:tcPr>
            <w:tcW w:w="1025" w:type="pct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14:00-17:00</w:t>
            </w:r>
          </w:p>
        </w:tc>
        <w:tc>
          <w:tcPr>
            <w:tcW w:w="1892" w:type="pct"/>
            <w:vAlign w:val="center"/>
          </w:tcPr>
          <w:p>
            <w:pPr>
              <w:spacing w:line="460" w:lineRule="exact"/>
              <w:jc w:val="left"/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创新思维与企业发展</w:t>
            </w: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陈子雷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85" w:hRule="atLeast"/>
        </w:trPr>
        <w:tc>
          <w:tcPr>
            <w:tcW w:w="800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  <w:t>月</w:t>
            </w:r>
            <w:r>
              <w:rPr>
                <w:rFonts w:hint="eastAsia"/>
                <w:sz w:val="28"/>
                <w:szCs w:val="28"/>
              </w:rPr>
              <w:t>23</w:t>
            </w:r>
            <w:r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  <w:t>周</w:t>
            </w:r>
            <w:r>
              <w:rPr>
                <w:rFonts w:hint="eastAsia"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  <w:t>三</w:t>
            </w:r>
          </w:p>
        </w:tc>
        <w:tc>
          <w:tcPr>
            <w:tcW w:w="511" w:type="pct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  <w:t>上午</w:t>
            </w:r>
          </w:p>
        </w:tc>
        <w:tc>
          <w:tcPr>
            <w:tcW w:w="1025" w:type="pct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9:00-12:00</w:t>
            </w:r>
          </w:p>
        </w:tc>
        <w:tc>
          <w:tcPr>
            <w:tcW w:w="1892" w:type="pct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/>
                <w:color w:val="000000"/>
                <w:sz w:val="28"/>
                <w:szCs w:val="28"/>
              </w:rPr>
              <w:t>策划人生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>，</w:t>
            </w:r>
            <w:r>
              <w:rPr>
                <w:rFonts w:ascii="仿宋_GB2312"/>
                <w:color w:val="000000"/>
                <w:sz w:val="28"/>
                <w:szCs w:val="28"/>
              </w:rPr>
              <w:t>勇者胜</w:t>
            </w: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  <w:highlight w:val="yellow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葛继宏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800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</w:p>
        </w:tc>
        <w:tc>
          <w:tcPr>
            <w:tcW w:w="511" w:type="pct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  <w:t>下午</w:t>
            </w:r>
          </w:p>
        </w:tc>
        <w:tc>
          <w:tcPr>
            <w:tcW w:w="1025" w:type="pct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14:00-17:00</w:t>
            </w:r>
          </w:p>
        </w:tc>
        <w:tc>
          <w:tcPr>
            <w:tcW w:w="1892" w:type="pct"/>
            <w:vAlign w:val="center"/>
          </w:tcPr>
          <w:p>
            <w:pPr>
              <w:spacing w:line="460" w:lineRule="exact"/>
              <w:jc w:val="left"/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浙商精神可持续发展之道及小组研讨</w:t>
            </w: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hAnsi="仿宋" w:eastAsia="仿宋"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汪政</w:t>
            </w:r>
          </w:p>
        </w:tc>
      </w:tr>
      <w:bookmarkEnd w:id="0"/>
      <w:bookmarkEnd w:id="1"/>
    </w:tbl>
    <w:p>
      <w:pPr>
        <w:autoSpaceDE w:val="0"/>
        <w:autoSpaceDN w:val="0"/>
        <w:jc w:val="left"/>
        <w:rPr>
          <w:rFonts w:ascii="黑体" w:hAnsi="仿宋" w:eastAsia="黑体" w:cs="黑体"/>
          <w:kern w:val="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480" w:lineRule="exact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仿宋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0"/>
        </w:rPr>
        <w:t>附件</w:t>
      </w: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2</w:t>
      </w:r>
    </w:p>
    <w:p>
      <w:pPr>
        <w:spacing w:line="320" w:lineRule="exact"/>
        <w:rPr>
          <w:rFonts w:ascii="方正小标宋简体" w:eastAsia="方正小标宋简体"/>
          <w:color w:val="111F2C"/>
          <w:szCs w:val="30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</w:t>
      </w:r>
    </w:p>
    <w:p>
      <w:pPr>
        <w:pStyle w:val="20"/>
        <w:spacing w:line="56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高级研修班学员健康申报表</w:t>
      </w:r>
    </w:p>
    <w:p>
      <w:pPr>
        <w:tabs>
          <w:tab w:val="left" w:pos="7513"/>
        </w:tabs>
        <w:spacing w:line="580" w:lineRule="exact"/>
        <w:ind w:right="745" w:rightChars="371"/>
        <w:jc w:val="center"/>
        <w:rPr>
          <w:rFonts w:ascii="方正小标宋简体" w:hAnsi="仿宋" w:eastAsia="方正小标宋简体" w:cs="仿宋_GB2312"/>
          <w:kern w:val="0"/>
          <w:sz w:val="36"/>
          <w:szCs w:val="36"/>
        </w:rPr>
      </w:pPr>
    </w:p>
    <w:tbl>
      <w:tblPr>
        <w:tblStyle w:val="8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658"/>
        <w:gridCol w:w="1292"/>
        <w:gridCol w:w="1840"/>
        <w:gridCol w:w="653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cs="仿宋_GB2312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ind w:firstLine="873" w:firstLineChars="300"/>
              <w:rPr>
                <w:rFonts w:asci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cs="仿宋_GB2312"/>
                <w:kern w:val="0"/>
                <w:sz w:val="30"/>
                <w:szCs w:val="30"/>
              </w:rPr>
              <w:t>所在单位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ind w:firstLine="873" w:firstLineChars="300"/>
              <w:rPr>
                <w:rFonts w:ascii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cs="仿宋_GB2312"/>
                <w:kern w:val="0"/>
                <w:sz w:val="30"/>
                <w:szCs w:val="30"/>
              </w:rPr>
              <w:t>健康码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cs="仿宋_GB2312"/>
                <w:kern w:val="0"/>
                <w:sz w:val="30"/>
                <w:szCs w:val="30"/>
              </w:rPr>
              <w:t>□ 绿 □ 黄  □ 红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cs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ind w:firstLine="873" w:firstLineChars="300"/>
              <w:rPr>
                <w:rFonts w:ascii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866" w:type="dxa"/>
            <w:gridSpan w:val="2"/>
            <w:vMerge w:val="restart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近两周本人身体健康状况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有无出现过发热、干咳、乏力、咽痛、腹泻等症状</w:t>
            </w:r>
          </w:p>
        </w:tc>
        <w:tc>
          <w:tcPr>
            <w:tcW w:w="2388" w:type="dxa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□ 有 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866" w:type="dxa"/>
            <w:gridSpan w:val="2"/>
            <w:vMerge w:val="continue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</w:p>
        </w:tc>
        <w:tc>
          <w:tcPr>
            <w:tcW w:w="3785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有过上述症状，具体症状为：</w:t>
            </w:r>
          </w:p>
        </w:tc>
        <w:tc>
          <w:tcPr>
            <w:tcW w:w="2388" w:type="dxa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651" w:type="dxa"/>
            <w:gridSpan w:val="5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是否是既往感染者（确诊病例或无症状感染者）</w:t>
            </w:r>
          </w:p>
        </w:tc>
        <w:tc>
          <w:tcPr>
            <w:tcW w:w="2388" w:type="dxa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651" w:type="dxa"/>
            <w:gridSpan w:val="5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是否是感染者的密切接触者</w:t>
            </w:r>
          </w:p>
        </w:tc>
        <w:tc>
          <w:tcPr>
            <w:tcW w:w="2388" w:type="dxa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6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近2周是否有流行病学史（到过高风险地区或近距离接触过来自高风险地区人群）</w:t>
            </w:r>
          </w:p>
        </w:tc>
        <w:tc>
          <w:tcPr>
            <w:tcW w:w="2388" w:type="dxa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8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是否为须做核酸检测者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□是□否</w:t>
            </w:r>
          </w:p>
        </w:tc>
        <w:tc>
          <w:tcPr>
            <w:tcW w:w="2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 w:ascii="仿宋_GB2312" w:cs="仿宋_GB2312"/>
                <w:kern w:val="0"/>
                <w:sz w:val="24"/>
              </w:rPr>
              <w:t>次核酸检测结果</w:t>
            </w:r>
          </w:p>
        </w:tc>
        <w:tc>
          <w:tcPr>
            <w:tcW w:w="2388" w:type="dxa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 xml:space="preserve">□阴性 □ 阳性 </w:t>
            </w:r>
          </w:p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□阴性 □ 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8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是否为须做肺部影像学检查者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□是□否</w:t>
            </w:r>
          </w:p>
        </w:tc>
        <w:tc>
          <w:tcPr>
            <w:tcW w:w="2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肺部影像学检查结果</w:t>
            </w:r>
          </w:p>
        </w:tc>
        <w:tc>
          <w:tcPr>
            <w:tcW w:w="2388" w:type="dxa"/>
            <w:vAlign w:val="center"/>
          </w:tcPr>
          <w:p>
            <w:pPr>
              <w:spacing w:line="260" w:lineRule="exact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□ 正常   □ 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2" w:hRule="atLeast"/>
          <w:jc w:val="center"/>
        </w:trPr>
        <w:tc>
          <w:tcPr>
            <w:tcW w:w="903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安全承诺</w:t>
            </w:r>
          </w:p>
          <w:p>
            <w:pPr>
              <w:spacing w:line="440" w:lineRule="exact"/>
              <w:ind w:firstLine="462" w:firstLineChars="200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本人主动申请参加培训，已知晓培训学员须符合疫情防控规定的健康标准。愿作出以下承诺：</w:t>
            </w:r>
          </w:p>
          <w:p>
            <w:pPr>
              <w:spacing w:line="440" w:lineRule="exact"/>
              <w:ind w:firstLine="462" w:firstLineChars="200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本人在授课前14天内健康码为绿码且体温正常、无相关症状（干咳、乏力、咽痛、腹泻等）；不是既往感染者（确诊病例或无症状感染者）、感染者的密切接触者；近2周无流行病学史（到过中、高风险地区或近距离接触过来自中、高风险地区人群）。</w:t>
            </w:r>
          </w:p>
          <w:p>
            <w:pPr>
              <w:spacing w:line="440" w:lineRule="exact"/>
              <w:ind w:firstLine="462" w:firstLineChars="200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>若有隐瞒行程、隐瞒病情、故意压制症状、瞒报漏报健康情况，愿意接受追究相应责任的处理。</w:t>
            </w:r>
          </w:p>
          <w:p>
            <w:pPr>
              <w:spacing w:line="440" w:lineRule="exact"/>
              <w:rPr>
                <w:rFonts w:ascii="仿宋_GB2312" w:cs="仿宋_GB2312"/>
                <w:kern w:val="0"/>
                <w:sz w:val="24"/>
              </w:rPr>
            </w:pPr>
          </w:p>
          <w:p>
            <w:pPr>
              <w:spacing w:line="440" w:lineRule="exact"/>
              <w:ind w:firstLine="2541" w:firstLineChars="1100"/>
              <w:rPr>
                <w:rFonts w:ascii="仿宋_GB2312" w:cs="仿宋_GB2312"/>
                <w:kern w:val="0"/>
                <w:sz w:val="24"/>
              </w:rPr>
            </w:pPr>
            <w:r>
              <w:rPr>
                <w:rFonts w:hint="eastAsia" w:ascii="仿宋_GB2312" w:cs="仿宋_GB2312"/>
                <w:kern w:val="0"/>
                <w:sz w:val="24"/>
              </w:rPr>
              <w:t xml:space="preserve">本人签名：             </w:t>
            </w:r>
            <w:r>
              <w:rPr>
                <w:rFonts w:hint="eastAsia"/>
                <w:sz w:val="28"/>
                <w:szCs w:val="28"/>
              </w:rPr>
              <w:t xml:space="preserve"> 2020</w:t>
            </w:r>
            <w:r>
              <w:rPr>
                <w:rFonts w:hint="eastAsia" w:ascii="仿宋_GB2312" w:cs="仿宋_GB2312"/>
                <w:kern w:val="0"/>
                <w:sz w:val="24"/>
              </w:rPr>
              <w:t>年   月   日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ascii="黑体" w:hAnsi="黑体" w:eastAsia="黑体" w:cs="黑体"/>
          <w:sz w:val="32"/>
          <w:szCs w:val="30"/>
        </w:rPr>
        <w:br w:type="page"/>
      </w:r>
      <w:r>
        <w:rPr>
          <w:rFonts w:ascii="黑体" w:hAnsi="黑体" w:eastAsia="黑体" w:cs="黑体"/>
          <w:sz w:val="32"/>
          <w:szCs w:val="30"/>
        </w:rPr>
        <w:t>附件</w:t>
      </w: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3</w:t>
      </w:r>
    </w:p>
    <w:p>
      <w:pPr>
        <w:pStyle w:val="20"/>
        <w:spacing w:line="56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Calibri"/>
          <w:kern w:val="0"/>
          <w:sz w:val="44"/>
          <w:szCs w:val="44"/>
        </w:rPr>
        <w:t>高级研修班</w:t>
      </w:r>
      <w:r>
        <w:rPr>
          <w:rFonts w:hint="eastAsia" w:ascii="方正小标宋简体" w:eastAsia="方正小标宋简体"/>
          <w:sz w:val="44"/>
          <w:szCs w:val="44"/>
        </w:rPr>
        <w:t>师资介绍</w:t>
      </w:r>
    </w:p>
    <w:p>
      <w:pPr>
        <w:pStyle w:val="20"/>
        <w:spacing w:line="40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ind w:firstLine="774" w:firstLineChars="249"/>
        <w:rPr>
          <w:rFonts w:ascii="仿宋_GB2312" w:hAnsiTheme="minorEastAsia"/>
          <w:sz w:val="32"/>
          <w:szCs w:val="32"/>
        </w:rPr>
      </w:pPr>
      <w:r>
        <w:rPr>
          <w:rFonts w:hint="eastAsia" w:ascii="仿宋_GB2312" w:hAnsiTheme="minorEastAsia"/>
          <w:b/>
          <w:sz w:val="32"/>
          <w:szCs w:val="32"/>
        </w:rPr>
        <w:t>童四鹤：</w:t>
      </w:r>
      <w:r>
        <w:rPr>
          <w:rFonts w:hint="eastAsia" w:ascii="仿宋_GB2312" w:hAnsiTheme="minorEastAsia"/>
          <w:sz w:val="32"/>
          <w:szCs w:val="32"/>
        </w:rPr>
        <w:t>高级经济师，雪峰集团董事局主席，华仙国药文化城总顾问。曾获全国改革创新先进人物，浙江省杰出民营企业家，金华市首届优秀社会主义事业建设者，义乌市劳动模范，义乌市十大慈善企业家，先后担任过义乌市、金华市、杭州市政协委员。现为中国文化促进会副会长、浙江省高级经济师协会会长、杭州湾智库特聘专家，香港（中国）书画院院长。</w:t>
      </w:r>
    </w:p>
    <w:p>
      <w:pPr>
        <w:pStyle w:val="21"/>
        <w:spacing w:before="0" w:beforeAutospacing="0" w:after="0" w:afterAutospacing="0" w:line="540" w:lineRule="exact"/>
        <w:ind w:firstLine="774" w:firstLineChars="249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包海波</w:t>
      </w:r>
      <w:r>
        <w:rPr>
          <w:rFonts w:hint="eastAsia" w:ascii="仿宋_GB2312" w:eastAsia="仿宋_GB2312" w:hAnsiTheme="minorEastAsia"/>
          <w:sz w:val="32"/>
          <w:szCs w:val="32"/>
        </w:rPr>
        <w:t>：中共浙江省委党校、浙江行政学院经济学教研部（软科学研究所）副主任,教授，浙江省知识产权研究会理事。2004年入选国家知识产权战略专家库，2016年入选浙江省“151人才工程”第二层次。主要从事技术创新经济学、产业经济学、区域经济学等研究。在多家学术刊物发表论文30多篇，论文被SCI、SSCI、人大复印资料收录转载多篇。主持完成国家知识产权局重点软科学课题、省科技计划重点软科学课题、省哲学社会科学规划课题多项。研究成果荣获中央党校优秀科研成果二等奖、全国知识产权优秀软科学成果三等奖、省自然科学优秀论文二等奖、省社科优秀成果三等奖等多项奖励。决策咨询成果获得中央书记处书记、国务院秘书长杨晶肯定批示。</w:t>
      </w:r>
    </w:p>
    <w:p>
      <w:pPr>
        <w:widowControl/>
        <w:spacing w:line="540" w:lineRule="exact"/>
        <w:ind w:firstLine="622" w:firstLineChars="200"/>
        <w:rPr>
          <w:rFonts w:ascii="仿宋_GB2312" w:cs="宋体" w:hAnsiTheme="minorEastAsia"/>
          <w:kern w:val="0"/>
          <w:sz w:val="32"/>
          <w:szCs w:val="32"/>
        </w:rPr>
      </w:pPr>
      <w:r>
        <w:rPr>
          <w:rFonts w:hint="eastAsia" w:ascii="仿宋_GB2312" w:hAnsi="仿宋" w:cs="仿宋"/>
          <w:b/>
          <w:kern w:val="0"/>
          <w:sz w:val="32"/>
          <w:szCs w:val="32"/>
        </w:rPr>
        <w:t>陈子雷</w:t>
      </w:r>
      <w:r>
        <w:rPr>
          <w:rFonts w:hint="eastAsia" w:ascii="仿宋_GB2312" w:hAnsi="仿宋" w:cs="仿宋"/>
          <w:kern w:val="0"/>
          <w:sz w:val="32"/>
          <w:szCs w:val="32"/>
        </w:rPr>
        <w:t>：</w:t>
      </w:r>
      <w:r>
        <w:rPr>
          <w:rFonts w:hint="eastAsia" w:ascii="仿宋_GB2312" w:cs="宋体" w:hAnsiTheme="minorEastAsia"/>
          <w:kern w:val="0"/>
          <w:sz w:val="32"/>
          <w:szCs w:val="32"/>
        </w:rPr>
        <w:t>经济学博士（日本），上海对外经贸大学国际经贸学院教授、东亚经济研究中心、日本经济研究中心主任。研究领域与成果：东亚与日本经济问题研究、世界经济与国际贸易问题研究。曾在国内学术期刊以及《日本经济新闻》、《经济学人》、《大公报》、《解放日报》、《文汇报》、《新民晚报》等国内外媒体发表论文和评论文章三十余篇。近三年承担省部级重点课题三项。获省部级论文奖一次。国际科研合作项目一项（合作对象：日本经济产业省经济产业研究所）。</w:t>
      </w:r>
    </w:p>
    <w:p>
      <w:pPr>
        <w:spacing w:line="540" w:lineRule="exact"/>
        <w:ind w:firstLine="774" w:firstLineChars="249"/>
        <w:rPr>
          <w:rFonts w:ascii="仿宋_GB2312" w:hAnsiTheme="minorEastAsia"/>
          <w:sz w:val="32"/>
          <w:szCs w:val="32"/>
        </w:rPr>
      </w:pPr>
      <w:r>
        <w:rPr>
          <w:rFonts w:hint="eastAsia" w:ascii="仿宋_GB2312" w:hAnsiTheme="minorEastAsia"/>
          <w:b/>
          <w:bCs/>
          <w:sz w:val="32"/>
          <w:szCs w:val="32"/>
        </w:rPr>
        <w:t>葛继宏：</w:t>
      </w:r>
      <w:r>
        <w:rPr>
          <w:rFonts w:hint="eastAsia" w:ascii="仿宋_GB2312" w:hAnsiTheme="minorEastAsia"/>
          <w:sz w:val="32"/>
          <w:szCs w:val="32"/>
        </w:rPr>
        <w:t>教授，浙江大学管理硕士，香港理工大学管理博士，知名策划人、媒体人，浙江省人民政府特约研究员。现任凤凰卫视中国大陆事务特别代表兼浙江公司总裁，民盟浙江省委会文化专委会主任，浙江传媒学院文化创意研究院院长，首批全国优秀创新创业导师，浙江大学MBA导师，杭州市优秀政协委员，杭州中华文化促进会副主席，杭州市文艺评论家协会副主席。</w:t>
      </w:r>
    </w:p>
    <w:p>
      <w:pPr>
        <w:spacing w:line="540" w:lineRule="exact"/>
        <w:ind w:firstLine="774" w:firstLineChars="249"/>
        <w:rPr>
          <w:rFonts w:ascii="仿宋_GB2312" w:hAnsi="仿宋" w:cs="仿宋"/>
          <w:sz w:val="32"/>
          <w:szCs w:val="32"/>
        </w:rPr>
      </w:pPr>
      <w:r>
        <w:rPr>
          <w:rFonts w:hint="eastAsia" w:ascii="仿宋_GB2312" w:hAnsi="仿宋" w:cs="仿宋"/>
          <w:b/>
          <w:color w:val="333333"/>
          <w:sz w:val="32"/>
          <w:szCs w:val="32"/>
        </w:rPr>
        <w:t>汪政</w:t>
      </w:r>
      <w:r>
        <w:rPr>
          <w:rFonts w:hint="eastAsia" w:ascii="仿宋_GB2312" w:hAnsi="仿宋" w:cs="仿宋"/>
          <w:color w:val="333333"/>
          <w:sz w:val="32"/>
          <w:szCs w:val="32"/>
        </w:rPr>
        <w:t>：浙江合众法律科技智能研究院院长，浙江泰杭律师事务所主任，全联并购公会浙江工作委员会副会长，杭州市律协常务理事，全国律协网络与高新技术委员会委员，上海交通大学信息内容分析技术国家工程实验室特邀研究员，浙江财经大学法学院实务导师，杭州电子科技大学人文法学院实务导师，第六届光荣浙商，高级律师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黑体"/>
          <w:b/>
          <w:kern w:val="0"/>
          <w:sz w:val="30"/>
          <w:szCs w:val="30"/>
        </w:rPr>
      </w:pPr>
    </w:p>
    <w:p>
      <w:pPr>
        <w:autoSpaceDE w:val="0"/>
        <w:autoSpaceDN w:val="0"/>
        <w:adjustRightInd w:val="0"/>
        <w:jc w:val="left"/>
        <w:rPr>
          <w:rFonts w:ascii="仿宋" w:hAnsi="仿宋" w:eastAsia="仿宋" w:cs="黑体"/>
          <w:b/>
          <w:kern w:val="0"/>
          <w:sz w:val="30"/>
          <w:szCs w:val="30"/>
        </w:rPr>
      </w:pPr>
      <w:r>
        <w:rPr>
          <w:rFonts w:ascii="仿宋" w:hAnsi="仿宋" w:eastAsia="仿宋" w:cs="黑体"/>
          <w:b/>
          <w:kern w:val="0"/>
          <w:sz w:val="30"/>
          <w:szCs w:val="30"/>
        </w:rPr>
        <w:t xml:space="preserve">                  </w:t>
      </w:r>
    </w:p>
    <w:sectPr>
      <w:footerReference r:id="rId3" w:type="default"/>
      <w:footerReference r:id="rId4" w:type="even"/>
      <w:pgSz w:w="11906" w:h="16838"/>
      <w:pgMar w:top="1928" w:right="1474" w:bottom="1985" w:left="1588" w:header="851" w:footer="1474" w:gutter="0"/>
      <w:pgNumType w:start="1"/>
      <w:cols w:space="720" w:num="1"/>
      <w:docGrid w:type="linesAndChars" w:linePitch="289" w:charSpace="-18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evenAndOddHeaders w:val="1"/>
  <w:drawingGridHorizontalSpacing w:val="201"/>
  <w:drawingGridVerticalSpacing w:val="28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8FF"/>
    <w:rsid w:val="00003349"/>
    <w:rsid w:val="00005B31"/>
    <w:rsid w:val="00007B49"/>
    <w:rsid w:val="0001095E"/>
    <w:rsid w:val="00034A9E"/>
    <w:rsid w:val="00040B7F"/>
    <w:rsid w:val="0004382F"/>
    <w:rsid w:val="00045230"/>
    <w:rsid w:val="000765DD"/>
    <w:rsid w:val="000B412D"/>
    <w:rsid w:val="000B46B2"/>
    <w:rsid w:val="00122B46"/>
    <w:rsid w:val="001379B9"/>
    <w:rsid w:val="0014282B"/>
    <w:rsid w:val="001B178D"/>
    <w:rsid w:val="002B47EF"/>
    <w:rsid w:val="002F43E3"/>
    <w:rsid w:val="002F5F28"/>
    <w:rsid w:val="003B6FA7"/>
    <w:rsid w:val="003C2D7E"/>
    <w:rsid w:val="003E0097"/>
    <w:rsid w:val="003E1729"/>
    <w:rsid w:val="004124E3"/>
    <w:rsid w:val="00423E0C"/>
    <w:rsid w:val="0042511B"/>
    <w:rsid w:val="0044421F"/>
    <w:rsid w:val="00455DA7"/>
    <w:rsid w:val="00465DBA"/>
    <w:rsid w:val="004666AC"/>
    <w:rsid w:val="00474964"/>
    <w:rsid w:val="004B381B"/>
    <w:rsid w:val="004B6371"/>
    <w:rsid w:val="004D4EAA"/>
    <w:rsid w:val="00512E2D"/>
    <w:rsid w:val="005312DC"/>
    <w:rsid w:val="005321AE"/>
    <w:rsid w:val="005459DD"/>
    <w:rsid w:val="00563E74"/>
    <w:rsid w:val="005A7267"/>
    <w:rsid w:val="005C7C2C"/>
    <w:rsid w:val="005E3947"/>
    <w:rsid w:val="005F2034"/>
    <w:rsid w:val="006529D9"/>
    <w:rsid w:val="0065610E"/>
    <w:rsid w:val="006724D5"/>
    <w:rsid w:val="006806D7"/>
    <w:rsid w:val="00695A3F"/>
    <w:rsid w:val="006B022C"/>
    <w:rsid w:val="006C7206"/>
    <w:rsid w:val="006C7D89"/>
    <w:rsid w:val="006E371A"/>
    <w:rsid w:val="00711083"/>
    <w:rsid w:val="007162D5"/>
    <w:rsid w:val="007470D9"/>
    <w:rsid w:val="00752149"/>
    <w:rsid w:val="00753931"/>
    <w:rsid w:val="007567BD"/>
    <w:rsid w:val="007628FF"/>
    <w:rsid w:val="00791DCB"/>
    <w:rsid w:val="007A3428"/>
    <w:rsid w:val="007B1F30"/>
    <w:rsid w:val="007D7C91"/>
    <w:rsid w:val="007F2098"/>
    <w:rsid w:val="008035CB"/>
    <w:rsid w:val="008037A7"/>
    <w:rsid w:val="00830776"/>
    <w:rsid w:val="00854452"/>
    <w:rsid w:val="00862916"/>
    <w:rsid w:val="00920EA5"/>
    <w:rsid w:val="00932512"/>
    <w:rsid w:val="00967AA3"/>
    <w:rsid w:val="009763F3"/>
    <w:rsid w:val="00985A45"/>
    <w:rsid w:val="009B57AB"/>
    <w:rsid w:val="009C3E38"/>
    <w:rsid w:val="00A4709D"/>
    <w:rsid w:val="00A7439F"/>
    <w:rsid w:val="00A80379"/>
    <w:rsid w:val="00A8315E"/>
    <w:rsid w:val="00A92C39"/>
    <w:rsid w:val="00AA1728"/>
    <w:rsid w:val="00AC2C43"/>
    <w:rsid w:val="00B063B0"/>
    <w:rsid w:val="00B8548B"/>
    <w:rsid w:val="00BC6A9D"/>
    <w:rsid w:val="00BD0B6F"/>
    <w:rsid w:val="00C175FD"/>
    <w:rsid w:val="00C24AE3"/>
    <w:rsid w:val="00C45C8F"/>
    <w:rsid w:val="00C466B5"/>
    <w:rsid w:val="00C63D82"/>
    <w:rsid w:val="00CF6B68"/>
    <w:rsid w:val="00D106C9"/>
    <w:rsid w:val="00D125FC"/>
    <w:rsid w:val="00D7604F"/>
    <w:rsid w:val="00DA2267"/>
    <w:rsid w:val="00DA5574"/>
    <w:rsid w:val="00DC0D92"/>
    <w:rsid w:val="00DE36C4"/>
    <w:rsid w:val="00E06B33"/>
    <w:rsid w:val="00E17D63"/>
    <w:rsid w:val="00E50C4C"/>
    <w:rsid w:val="00E84BBC"/>
    <w:rsid w:val="00EB617F"/>
    <w:rsid w:val="00F14738"/>
    <w:rsid w:val="00F33005"/>
    <w:rsid w:val="00F55BD9"/>
    <w:rsid w:val="00F6170C"/>
    <w:rsid w:val="00F76A7E"/>
    <w:rsid w:val="00F80F55"/>
    <w:rsid w:val="00F948D7"/>
    <w:rsid w:val="00FA4B22"/>
    <w:rsid w:val="01046674"/>
    <w:rsid w:val="051804E6"/>
    <w:rsid w:val="06F840E7"/>
    <w:rsid w:val="11CD4996"/>
    <w:rsid w:val="122006B3"/>
    <w:rsid w:val="14A4408F"/>
    <w:rsid w:val="18CE0159"/>
    <w:rsid w:val="1AA634F1"/>
    <w:rsid w:val="238353C9"/>
    <w:rsid w:val="2BE71FC4"/>
    <w:rsid w:val="2C7912EE"/>
    <w:rsid w:val="2CE86A41"/>
    <w:rsid w:val="2D4D1911"/>
    <w:rsid w:val="2F364DED"/>
    <w:rsid w:val="33910595"/>
    <w:rsid w:val="36012D5F"/>
    <w:rsid w:val="37326C2F"/>
    <w:rsid w:val="37D336AE"/>
    <w:rsid w:val="397216A7"/>
    <w:rsid w:val="3AE25E97"/>
    <w:rsid w:val="3B451A43"/>
    <w:rsid w:val="3F5E70B8"/>
    <w:rsid w:val="434D0B13"/>
    <w:rsid w:val="46C41751"/>
    <w:rsid w:val="48862BFE"/>
    <w:rsid w:val="4B3B463E"/>
    <w:rsid w:val="4EB3596D"/>
    <w:rsid w:val="4EDF38E7"/>
    <w:rsid w:val="4F310937"/>
    <w:rsid w:val="523906D5"/>
    <w:rsid w:val="54FB6818"/>
    <w:rsid w:val="56376860"/>
    <w:rsid w:val="575971AE"/>
    <w:rsid w:val="5B9B0001"/>
    <w:rsid w:val="5BC0752A"/>
    <w:rsid w:val="5D6B19CC"/>
    <w:rsid w:val="5F8B530E"/>
    <w:rsid w:val="61703F8D"/>
    <w:rsid w:val="627459BF"/>
    <w:rsid w:val="6AA212D8"/>
    <w:rsid w:val="72953784"/>
    <w:rsid w:val="74F05049"/>
    <w:rsid w:val="76495500"/>
    <w:rsid w:val="76A743F6"/>
    <w:rsid w:val="7C1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iPriority w:val="0"/>
    <w:pPr>
      <w:jc w:val="left"/>
    </w:pPr>
  </w:style>
  <w:style w:type="paragraph" w:styleId="3">
    <w:name w:val="Balloon Text"/>
    <w:basedOn w:val="1"/>
    <w:link w:val="15"/>
    <w:semiHidden/>
    <w:qFormat/>
    <w:uiPriority w:val="0"/>
    <w:rPr>
      <w:kern w:val="0"/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4"/>
    <w:uiPriority w:val="0"/>
    <w:rPr>
      <w:b/>
      <w:bCs/>
    </w:rPr>
  </w:style>
  <w:style w:type="character" w:styleId="10">
    <w:name w:val="FollowedHyperlink"/>
    <w:semiHidden/>
    <w:uiPriority w:val="0"/>
    <w:rPr>
      <w:rFonts w:cs="Times New Roman"/>
      <w:color w:val="800080"/>
      <w:u w:val="single"/>
    </w:r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页脚 Char"/>
    <w:link w:val="4"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主题 Char"/>
    <w:link w:val="7"/>
    <w:uiPriority w:val="0"/>
    <w:rPr>
      <w:rFonts w:ascii="Times New Roman" w:hAnsi="Times New Roman"/>
      <w:b/>
      <w:bCs/>
      <w:kern w:val="2"/>
      <w:sz w:val="21"/>
      <w:szCs w:val="24"/>
    </w:rPr>
  </w:style>
  <w:style w:type="character" w:customStyle="1" w:styleId="15">
    <w:name w:val="批注框文本 Char"/>
    <w:link w:val="3"/>
    <w:semiHidden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Subtle Emphasis"/>
    <w:qFormat/>
    <w:uiPriority w:val="19"/>
    <w:rPr>
      <w:i/>
      <w:iCs/>
      <w:color w:val="808080"/>
    </w:rPr>
  </w:style>
  <w:style w:type="character" w:customStyle="1" w:styleId="17">
    <w:name w:val="批注文字 Char"/>
    <w:link w:val="2"/>
    <w:uiPriority w:val="0"/>
    <w:rPr>
      <w:rFonts w:ascii="Times New Roman" w:hAnsi="Times New Roman"/>
      <w:kern w:val="2"/>
      <w:sz w:val="21"/>
      <w:szCs w:val="24"/>
    </w:rPr>
  </w:style>
  <w:style w:type="character" w:customStyle="1" w:styleId="18">
    <w:name w:val="页眉 Char"/>
    <w:link w:val="5"/>
    <w:uiPriority w:val="0"/>
    <w:rPr>
      <w:rFonts w:ascii="Times New Roman" w:hAnsi="Times New Roman"/>
      <w:kern w:val="2"/>
      <w:sz w:val="18"/>
      <w:szCs w:val="18"/>
    </w:rPr>
  </w:style>
  <w:style w:type="paragraph" w:customStyle="1" w:styleId="19">
    <w:name w:val="Revision"/>
    <w:unhideWhenUsed/>
    <w:uiPriority w:val="99"/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310</Words>
  <Characters>1767</Characters>
  <Lines>14</Lines>
  <Paragraphs>4</Paragraphs>
  <TotalTime>1</TotalTime>
  <ScaleCrop>false</ScaleCrop>
  <LinksUpToDate>false</LinksUpToDate>
  <CharactersWithSpaces>2073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2020-08-27T03:28:00Z</dcterms:created>
  <dc:creator>陈彬</dc:creator>
  <cp:lastModifiedBy>Administrator</cp:lastModifiedBy>
  <cp:lastPrinted>2020-09-04T00:56:00Z</cp:lastPrinted>
  <dcterms:modified xsi:type="dcterms:W3CDTF">2020-09-06T06:25:16Z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